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66C89" w14:textId="77777777" w:rsidR="00163A56" w:rsidRDefault="00163A56" w:rsidP="00163A56">
      <w:pPr>
        <w:pStyle w:val="Title"/>
      </w:pPr>
      <w:r>
        <w:t>Financial Analysis and Evaluation of Company Performance</w:t>
      </w:r>
    </w:p>
    <w:p w14:paraId="2BAFE78B" w14:textId="77777777" w:rsidR="00163A56" w:rsidRDefault="00163A56" w:rsidP="00163A56">
      <w:pPr>
        <w:pStyle w:val="Heading1"/>
      </w:pPr>
      <w:r>
        <w:t>Introduction</w:t>
      </w:r>
    </w:p>
    <w:p w14:paraId="0E7356BB" w14:textId="77777777" w:rsidR="00163A56" w:rsidRDefault="00163A56" w:rsidP="00163A56">
      <w:r w:rsidRPr="00163A56">
        <w:t xml:space="preserve">This document presents a comprehensive analysis of the company's financial health, based on the balance sheets for the </w:t>
      </w:r>
      <w:proofErr w:type="gramStart"/>
      <w:r w:rsidRPr="00163A56">
        <w:t>financial years</w:t>
      </w:r>
      <w:proofErr w:type="gramEnd"/>
      <w:r w:rsidRPr="00163A56">
        <w:t xml:space="preserve"> ending March 31, 2021, 2022, 2023, and 2024. Key financial ratios have been calculated and compared over these periods to provide insights into the company's performance and </w:t>
      </w:r>
      <w:proofErr w:type="gramStart"/>
      <w:r w:rsidRPr="00163A56">
        <w:t>future prospects</w:t>
      </w:r>
      <w:proofErr w:type="gramEnd"/>
      <w:r w:rsidRPr="00163A56">
        <w:t>.</w:t>
      </w:r>
    </w:p>
    <w:p w14:paraId="58C3B484" w14:textId="77777777" w:rsidR="00163A56" w:rsidRDefault="00163A56" w:rsidP="00163A56">
      <w:pPr>
        <w:pStyle w:val="Heading1"/>
      </w:pPr>
      <w:r>
        <w:t>Balance Sheet Summary</w:t>
      </w:r>
    </w:p>
    <w:p w14:paraId="6592DEC1" w14:textId="77777777" w:rsidR="00163A56" w:rsidRDefault="00163A56" w:rsidP="00163A56">
      <w:r w:rsidRPr="00163A56">
        <w:t>The balance sheet provides an overview of the company's financial position, highlighting the sources and applications of funds.</w:t>
      </w:r>
    </w:p>
    <w:p w14:paraId="4E8C4C6D" w14:textId="77777777" w:rsidR="00163A56" w:rsidRDefault="00163A56" w:rsidP="00163A56">
      <w:pPr>
        <w:pStyle w:val="Heading2"/>
      </w:pPr>
      <w:r>
        <w:t>Sources of Funds</w:t>
      </w:r>
    </w:p>
    <w:p w14:paraId="1C249FE0" w14:textId="77777777" w:rsidR="00163A56" w:rsidRDefault="00163A56" w:rsidP="00163A56">
      <w:pPr>
        <w:pStyle w:val="ListParagraph"/>
        <w:numPr>
          <w:ilvl w:val="0"/>
          <w:numId w:val="14"/>
        </w:numPr>
      </w:pPr>
      <w:r w:rsidRPr="00163A56">
        <w:t>Share Capital: ₹4,54,99,400 (consistent across all years)</w:t>
      </w:r>
    </w:p>
    <w:p w14:paraId="6FD35E42" w14:textId="77777777" w:rsidR="00163A56" w:rsidRDefault="00163A56" w:rsidP="00163A56">
      <w:pPr>
        <w:pStyle w:val="ListParagraph"/>
        <w:numPr>
          <w:ilvl w:val="0"/>
          <w:numId w:val="14"/>
        </w:numPr>
      </w:pPr>
      <w:r w:rsidRPr="00163A56">
        <w:t>Reserves and Surplus:</w:t>
      </w:r>
    </w:p>
    <w:p w14:paraId="58D0ABD5" w14:textId="77777777" w:rsidR="00163A56" w:rsidRDefault="00163A56" w:rsidP="00163A56">
      <w:pPr>
        <w:pStyle w:val="ListParagraph"/>
        <w:numPr>
          <w:ilvl w:val="0"/>
          <w:numId w:val="14"/>
        </w:numPr>
      </w:pPr>
      <w:r w:rsidRPr="00163A56">
        <w:t>2024: ₹21,62,99,529</w:t>
      </w:r>
    </w:p>
    <w:p w14:paraId="7882005A" w14:textId="77777777" w:rsidR="00163A56" w:rsidRDefault="00163A56" w:rsidP="00163A56">
      <w:pPr>
        <w:pStyle w:val="ListParagraph"/>
        <w:numPr>
          <w:ilvl w:val="0"/>
          <w:numId w:val="14"/>
        </w:numPr>
      </w:pPr>
      <w:r w:rsidRPr="00163A56">
        <w:t>2023: ₹30,38,17,206</w:t>
      </w:r>
    </w:p>
    <w:p w14:paraId="59096A97" w14:textId="77777777" w:rsidR="00163A56" w:rsidRDefault="00163A56" w:rsidP="00163A56">
      <w:pPr>
        <w:pStyle w:val="ListParagraph"/>
        <w:numPr>
          <w:ilvl w:val="0"/>
          <w:numId w:val="14"/>
        </w:numPr>
      </w:pPr>
      <w:r w:rsidRPr="00163A56">
        <w:t>2022: ₹29,81,23,785</w:t>
      </w:r>
    </w:p>
    <w:p w14:paraId="70C95F35" w14:textId="77777777" w:rsidR="00163A56" w:rsidRDefault="00163A56" w:rsidP="00163A56">
      <w:pPr>
        <w:pStyle w:val="ListParagraph"/>
        <w:numPr>
          <w:ilvl w:val="0"/>
          <w:numId w:val="14"/>
        </w:numPr>
      </w:pPr>
      <w:r w:rsidRPr="00163A56">
        <w:t>2021: ₹29,39,41,007</w:t>
      </w:r>
    </w:p>
    <w:p w14:paraId="66E1A103" w14:textId="77777777" w:rsidR="00163A56" w:rsidRDefault="00163A56" w:rsidP="00163A56">
      <w:r w:rsidRPr="00163A56">
        <w:t>Secured Loans:</w:t>
      </w:r>
    </w:p>
    <w:p w14:paraId="18F61BA4" w14:textId="77777777" w:rsidR="00163A56" w:rsidRDefault="00163A56" w:rsidP="00163A56">
      <w:r w:rsidRPr="00163A56">
        <w:t>2024: ₹4,38,79,753</w:t>
      </w:r>
    </w:p>
    <w:p w14:paraId="4F7D6F52" w14:textId="77777777" w:rsidR="00163A56" w:rsidRDefault="00163A56" w:rsidP="00163A56">
      <w:r w:rsidRPr="00163A56">
        <w:t>2023: ₹10,46,96,725</w:t>
      </w:r>
    </w:p>
    <w:p w14:paraId="63412E64" w14:textId="77777777" w:rsidR="00163A56" w:rsidRDefault="00163A56" w:rsidP="00163A56">
      <w:r w:rsidRPr="00163A56">
        <w:t>2022: ₹3,90,74,122</w:t>
      </w:r>
    </w:p>
    <w:p w14:paraId="10896103" w14:textId="77777777" w:rsidR="00163A56" w:rsidRDefault="00163A56" w:rsidP="00163A56">
      <w:r w:rsidRPr="00163A56">
        <w:t>2021: ₹6,56,27,150</w:t>
      </w:r>
    </w:p>
    <w:p w14:paraId="7E1BC5B6" w14:textId="77777777" w:rsidR="00163A56" w:rsidRDefault="00163A56" w:rsidP="00163A56">
      <w:r w:rsidRPr="00163A56">
        <w:t>Deferred Tax Liability:</w:t>
      </w:r>
    </w:p>
    <w:p w14:paraId="2B8AA9C3" w14:textId="77777777" w:rsidR="00163A56" w:rsidRDefault="00163A56" w:rsidP="00163A56">
      <w:r w:rsidRPr="00163A56">
        <w:t>2024: ₹2,55,42,598</w:t>
      </w:r>
    </w:p>
    <w:p w14:paraId="65915C15" w14:textId="77777777" w:rsidR="00163A56" w:rsidRDefault="00163A56" w:rsidP="00163A56">
      <w:r w:rsidRPr="00163A56">
        <w:t>2023: ₹2,38,90,964</w:t>
      </w:r>
    </w:p>
    <w:p w14:paraId="05904C6F" w14:textId="77777777" w:rsidR="00163A56" w:rsidRDefault="00163A56" w:rsidP="00163A56">
      <w:r w:rsidRPr="00163A56">
        <w:t>2022: ₹2,36,35,101</w:t>
      </w:r>
    </w:p>
    <w:p w14:paraId="078F3BBE" w14:textId="77777777" w:rsidR="00163A56" w:rsidRDefault="00163A56" w:rsidP="00163A56">
      <w:r w:rsidRPr="00163A56">
        <w:t>2021: ₹2,38,04,798</w:t>
      </w:r>
    </w:p>
    <w:p w14:paraId="70C51717" w14:textId="77777777" w:rsidR="00163A56" w:rsidRDefault="00163A56" w:rsidP="00163A56">
      <w:pPr>
        <w:pStyle w:val="Heading2"/>
      </w:pPr>
      <w:r>
        <w:lastRenderedPageBreak/>
        <w:t>Applications of Funds</w:t>
      </w:r>
    </w:p>
    <w:p w14:paraId="7CBDDB4D" w14:textId="77777777" w:rsidR="00163A56" w:rsidRDefault="00163A56" w:rsidP="00163A56">
      <w:pPr>
        <w:pStyle w:val="ListParagraph"/>
        <w:numPr>
          <w:ilvl w:val="0"/>
          <w:numId w:val="15"/>
        </w:numPr>
      </w:pPr>
      <w:r w:rsidRPr="00163A56">
        <w:t>Net Block (Fixed Assets):</w:t>
      </w:r>
    </w:p>
    <w:p w14:paraId="56678BAB" w14:textId="77777777" w:rsidR="00163A56" w:rsidRDefault="00163A56" w:rsidP="00163A56">
      <w:pPr>
        <w:pStyle w:val="ListParagraph"/>
        <w:numPr>
          <w:ilvl w:val="0"/>
          <w:numId w:val="15"/>
        </w:numPr>
      </w:pPr>
      <w:r w:rsidRPr="00163A56">
        <w:t>2024: ₹23,10,28,751</w:t>
      </w:r>
    </w:p>
    <w:p w14:paraId="102E2E70" w14:textId="77777777" w:rsidR="00163A56" w:rsidRDefault="00163A56" w:rsidP="00163A56">
      <w:pPr>
        <w:pStyle w:val="ListParagraph"/>
        <w:numPr>
          <w:ilvl w:val="0"/>
          <w:numId w:val="15"/>
        </w:numPr>
      </w:pPr>
      <w:r w:rsidRPr="00163A56">
        <w:t>2023: ₹23,02,67,890</w:t>
      </w:r>
    </w:p>
    <w:p w14:paraId="05A7C30C" w14:textId="77777777" w:rsidR="00163A56" w:rsidRDefault="00163A56" w:rsidP="00163A56">
      <w:pPr>
        <w:pStyle w:val="ListParagraph"/>
        <w:numPr>
          <w:ilvl w:val="0"/>
          <w:numId w:val="15"/>
        </w:numPr>
      </w:pPr>
      <w:r w:rsidRPr="00163A56">
        <w:t>2022: ₹24,17,04,415</w:t>
      </w:r>
    </w:p>
    <w:p w14:paraId="6C766EE3" w14:textId="77777777" w:rsidR="00163A56" w:rsidRDefault="00163A56" w:rsidP="00163A56">
      <w:pPr>
        <w:pStyle w:val="ListParagraph"/>
        <w:numPr>
          <w:ilvl w:val="0"/>
          <w:numId w:val="15"/>
        </w:numPr>
      </w:pPr>
      <w:r w:rsidRPr="00163A56">
        <w:t>2021: ₹25,97,83,195</w:t>
      </w:r>
    </w:p>
    <w:p w14:paraId="4F0F2ADD" w14:textId="77777777" w:rsidR="00163A56" w:rsidRDefault="00163A56" w:rsidP="00163A56">
      <w:r w:rsidRPr="00163A56">
        <w:t>Capital Work in Progress:</w:t>
      </w:r>
    </w:p>
    <w:p w14:paraId="7C104EFD" w14:textId="77777777" w:rsidR="00163A56" w:rsidRDefault="00163A56" w:rsidP="00163A56">
      <w:r w:rsidRPr="00163A56">
        <w:t>2024: ₹17,92,480</w:t>
      </w:r>
    </w:p>
    <w:p w14:paraId="2EC5604B" w14:textId="77777777" w:rsidR="00163A56" w:rsidRDefault="00163A56" w:rsidP="00163A56">
      <w:r w:rsidRPr="00163A56">
        <w:t>2023: ₹33,72,400</w:t>
      </w:r>
    </w:p>
    <w:p w14:paraId="39972C8F" w14:textId="77777777" w:rsidR="00163A56" w:rsidRDefault="00163A56" w:rsidP="00163A56">
      <w:r w:rsidRPr="00163A56">
        <w:t>2022: ₹0</w:t>
      </w:r>
    </w:p>
    <w:p w14:paraId="1704BDA1" w14:textId="77777777" w:rsidR="00163A56" w:rsidRDefault="00163A56" w:rsidP="00163A56">
      <w:r w:rsidRPr="00163A56">
        <w:t>2021: ₹0</w:t>
      </w:r>
    </w:p>
    <w:p w14:paraId="6E90508C" w14:textId="77777777" w:rsidR="00163A56" w:rsidRDefault="00163A56" w:rsidP="00163A56">
      <w:r w:rsidRPr="00163A56">
        <w:t>Investments:</w:t>
      </w:r>
    </w:p>
    <w:p w14:paraId="4C26B86C" w14:textId="77777777" w:rsidR="00163A56" w:rsidRDefault="00163A56" w:rsidP="00163A56">
      <w:r w:rsidRPr="00163A56">
        <w:t>2024: ₹4,60,95,343</w:t>
      </w:r>
    </w:p>
    <w:p w14:paraId="483C392F" w14:textId="77777777" w:rsidR="00163A56" w:rsidRDefault="00163A56" w:rsidP="00163A56">
      <w:r w:rsidRPr="00163A56">
        <w:t>2023: ₹31,19,040</w:t>
      </w:r>
    </w:p>
    <w:p w14:paraId="5071E9D0" w14:textId="77777777" w:rsidR="00163A56" w:rsidRDefault="00163A56" w:rsidP="00163A56">
      <w:r w:rsidRPr="00163A56">
        <w:t>2022: ₹38,00,962</w:t>
      </w:r>
    </w:p>
    <w:p w14:paraId="1B4053BC" w14:textId="77777777" w:rsidR="00163A56" w:rsidRDefault="00163A56" w:rsidP="00163A56">
      <w:r w:rsidRPr="00163A56">
        <w:t>2021: ₹8,29,566</w:t>
      </w:r>
    </w:p>
    <w:p w14:paraId="7108636C" w14:textId="77777777" w:rsidR="00163A56" w:rsidRDefault="00163A56" w:rsidP="00163A56">
      <w:r w:rsidRPr="00163A56">
        <w:t>Net Current Assets:</w:t>
      </w:r>
    </w:p>
    <w:p w14:paraId="2A6F8E4F" w14:textId="77777777" w:rsidR="00163A56" w:rsidRDefault="00163A56" w:rsidP="00163A56">
      <w:r w:rsidRPr="00163A56">
        <w:t>2024: ₹14,69,83,674</w:t>
      </w:r>
    </w:p>
    <w:p w14:paraId="34C53820" w14:textId="77777777" w:rsidR="00163A56" w:rsidRDefault="00163A56" w:rsidP="00163A56">
      <w:r w:rsidRPr="00163A56">
        <w:t>2023: ₹23,29,88,170</w:t>
      </w:r>
    </w:p>
    <w:p w14:paraId="0861235B" w14:textId="77777777" w:rsidR="00163A56" w:rsidRDefault="00163A56" w:rsidP="00163A56">
      <w:r w:rsidRPr="00163A56">
        <w:t>2022: ₹14,91,17,275</w:t>
      </w:r>
    </w:p>
    <w:p w14:paraId="5038B8E6" w14:textId="77777777" w:rsidR="00163A56" w:rsidRDefault="00163A56" w:rsidP="00163A56">
      <w:r w:rsidRPr="00163A56">
        <w:t>2021: ₹15,28,53,476</w:t>
      </w:r>
    </w:p>
    <w:p w14:paraId="4AFD6C7D" w14:textId="77777777" w:rsidR="00163A56" w:rsidRDefault="00163A56" w:rsidP="00163A56">
      <w:r w:rsidRPr="00163A56">
        <w:t>Miscellaneous Expenditure:</w:t>
      </w:r>
    </w:p>
    <w:p w14:paraId="6DD4630A" w14:textId="77777777" w:rsidR="00163A56" w:rsidRDefault="00163A56" w:rsidP="00163A56">
      <w:r w:rsidRPr="00163A56">
        <w:t>2024: ₹53,21,032</w:t>
      </w:r>
    </w:p>
    <w:p w14:paraId="017E1A50" w14:textId="77777777" w:rsidR="00163A56" w:rsidRDefault="00163A56" w:rsidP="00163A56">
      <w:r w:rsidRPr="00163A56">
        <w:t>2023: ₹81,56,796</w:t>
      </w:r>
    </w:p>
    <w:p w14:paraId="74570812" w14:textId="77777777" w:rsidR="00163A56" w:rsidRDefault="00163A56" w:rsidP="00163A56">
      <w:r w:rsidRPr="00163A56">
        <w:t>2022: ₹1,17,09,757</w:t>
      </w:r>
    </w:p>
    <w:p w14:paraId="6FC6E86D" w14:textId="77777777" w:rsidR="00163A56" w:rsidRDefault="00163A56" w:rsidP="00163A56">
      <w:r w:rsidRPr="00163A56">
        <w:t>2021: ₹1,54,06,118</w:t>
      </w:r>
    </w:p>
    <w:p w14:paraId="3C58D094" w14:textId="77777777" w:rsidR="00163A56" w:rsidRDefault="00163A56" w:rsidP="00163A56">
      <w:pPr>
        <w:pStyle w:val="Heading1"/>
      </w:pPr>
      <w:r>
        <w:t>Key Financial Ratios</w:t>
      </w:r>
    </w:p>
    <w:p w14:paraId="29E5466D" w14:textId="77777777" w:rsidR="00163A56" w:rsidRDefault="00163A56" w:rsidP="00163A56">
      <w:pPr>
        <w:pStyle w:val="Heading2"/>
      </w:pPr>
      <w:r>
        <w:t>Current Ratio</w:t>
      </w:r>
    </w:p>
    <w:p w14:paraId="36927ABB" w14:textId="77777777" w:rsidR="00163A56" w:rsidRDefault="00163A56" w:rsidP="00163A56">
      <w:r w:rsidRPr="00163A56">
        <w:t>The current ratio measures the company's ability to pay short-term obligations with its current assets.</w:t>
      </w:r>
    </w:p>
    <w:p w14:paraId="3A8F5DC5" w14:textId="77777777" w:rsidR="00163A56" w:rsidRDefault="00163A56" w:rsidP="00163A56">
      <w:r w:rsidRPr="00163A56">
        <w:t>Current Ratio = Current Assets / Current Liabilities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2254"/>
        <w:gridCol w:w="2254"/>
        <w:gridCol w:w="2254"/>
        <w:gridCol w:w="2254"/>
      </w:tblGrid>
      <w:tr w:rsidR="00163A56" w:rsidRPr="00163A56" w14:paraId="4028D3F9" w14:textId="77777777" w:rsidTr="0016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4" w:type="dxa"/>
          </w:tcPr>
          <w:p w14:paraId="06498D93" w14:textId="7958C800" w:rsidR="00163A56" w:rsidRPr="00163A56" w:rsidRDefault="00163A56" w:rsidP="00163A56">
            <w:r w:rsidRPr="00163A56">
              <w:t>Year</w:t>
            </w:r>
          </w:p>
        </w:tc>
        <w:tc>
          <w:tcPr>
            <w:tcW w:w="2254" w:type="dxa"/>
          </w:tcPr>
          <w:p w14:paraId="4EC8F8AC" w14:textId="5DFDB251" w:rsidR="00163A56" w:rsidRPr="00163A56" w:rsidRDefault="00163A56" w:rsidP="00163A56">
            <w:r w:rsidRPr="00163A56">
              <w:t>Current Assets (₹)</w:t>
            </w:r>
          </w:p>
        </w:tc>
        <w:tc>
          <w:tcPr>
            <w:tcW w:w="2254" w:type="dxa"/>
          </w:tcPr>
          <w:p w14:paraId="0EF8C823" w14:textId="68AEB340" w:rsidR="00163A56" w:rsidRPr="00163A56" w:rsidRDefault="00163A56" w:rsidP="00163A56">
            <w:r w:rsidRPr="00163A56">
              <w:t>Current Liabilities (₹)</w:t>
            </w:r>
          </w:p>
        </w:tc>
        <w:tc>
          <w:tcPr>
            <w:tcW w:w="2254" w:type="dxa"/>
          </w:tcPr>
          <w:p w14:paraId="79229E89" w14:textId="111F98B0" w:rsidR="00163A56" w:rsidRPr="00163A56" w:rsidRDefault="00163A56" w:rsidP="00163A56">
            <w:r w:rsidRPr="00163A56">
              <w:t>Current Ratio</w:t>
            </w:r>
          </w:p>
        </w:tc>
      </w:tr>
      <w:tr w:rsidR="00163A56" w:rsidRPr="00163A56" w14:paraId="3F0910D2" w14:textId="77777777" w:rsidTr="0016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</w:tcPr>
          <w:p w14:paraId="3D98AA0F" w14:textId="59D71C5B" w:rsidR="00163A56" w:rsidRPr="00163A56" w:rsidRDefault="00163A56" w:rsidP="00163A56">
            <w:r w:rsidRPr="00163A56">
              <w:t>31-Mar-24</w:t>
            </w:r>
          </w:p>
        </w:tc>
        <w:tc>
          <w:tcPr>
            <w:tcW w:w="2254" w:type="dxa"/>
          </w:tcPr>
          <w:p w14:paraId="24C0E003" w14:textId="2C67C79F" w:rsidR="00163A56" w:rsidRPr="00163A56" w:rsidRDefault="00163A56" w:rsidP="00163A56">
            <w:r w:rsidRPr="00163A56">
              <w:t>30,69,44,812</w:t>
            </w:r>
          </w:p>
        </w:tc>
        <w:tc>
          <w:tcPr>
            <w:tcW w:w="2254" w:type="dxa"/>
          </w:tcPr>
          <w:p w14:paraId="165E8F69" w14:textId="2461DC34" w:rsidR="00163A56" w:rsidRPr="00163A56" w:rsidRDefault="00163A56" w:rsidP="00163A56">
            <w:r w:rsidRPr="00163A56">
              <w:t>15,99,61,138</w:t>
            </w:r>
          </w:p>
        </w:tc>
        <w:tc>
          <w:tcPr>
            <w:tcW w:w="2254" w:type="dxa"/>
          </w:tcPr>
          <w:p w14:paraId="44B06B16" w14:textId="59498EA1" w:rsidR="00163A56" w:rsidRPr="00163A56" w:rsidRDefault="00163A56" w:rsidP="00163A56">
            <w:r w:rsidRPr="00163A56">
              <w:t>1.92</w:t>
            </w:r>
          </w:p>
        </w:tc>
      </w:tr>
      <w:tr w:rsidR="00163A56" w:rsidRPr="00163A56" w14:paraId="6B89D794" w14:textId="77777777" w:rsidTr="00163A56">
        <w:tc>
          <w:tcPr>
            <w:tcW w:w="2254" w:type="dxa"/>
          </w:tcPr>
          <w:p w14:paraId="0E1D8C96" w14:textId="22204A9E" w:rsidR="00163A56" w:rsidRPr="00163A56" w:rsidRDefault="00163A56" w:rsidP="00163A56">
            <w:r w:rsidRPr="00163A56">
              <w:t>31-Mar-23</w:t>
            </w:r>
          </w:p>
        </w:tc>
        <w:tc>
          <w:tcPr>
            <w:tcW w:w="2254" w:type="dxa"/>
          </w:tcPr>
          <w:p w14:paraId="1EA70DB7" w14:textId="4BDB60FF" w:rsidR="00163A56" w:rsidRPr="00163A56" w:rsidRDefault="00163A56" w:rsidP="00163A56">
            <w:r w:rsidRPr="00163A56">
              <w:t>35,46,56,079</w:t>
            </w:r>
          </w:p>
        </w:tc>
        <w:tc>
          <w:tcPr>
            <w:tcW w:w="2254" w:type="dxa"/>
          </w:tcPr>
          <w:p w14:paraId="09C5FA4E" w14:textId="3A24E90F" w:rsidR="00163A56" w:rsidRPr="00163A56" w:rsidRDefault="00163A56" w:rsidP="00163A56">
            <w:r w:rsidRPr="00163A56">
              <w:t>12,16,67,909</w:t>
            </w:r>
          </w:p>
        </w:tc>
        <w:tc>
          <w:tcPr>
            <w:tcW w:w="2254" w:type="dxa"/>
          </w:tcPr>
          <w:p w14:paraId="0B202721" w14:textId="350DB6CC" w:rsidR="00163A56" w:rsidRPr="00163A56" w:rsidRDefault="00163A56" w:rsidP="00163A56">
            <w:r w:rsidRPr="00163A56">
              <w:t>2.91</w:t>
            </w:r>
          </w:p>
        </w:tc>
      </w:tr>
      <w:tr w:rsidR="00163A56" w:rsidRPr="00163A56" w14:paraId="310E19EE" w14:textId="77777777" w:rsidTr="0016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</w:tcPr>
          <w:p w14:paraId="641D4164" w14:textId="05058D9D" w:rsidR="00163A56" w:rsidRPr="00163A56" w:rsidRDefault="00163A56" w:rsidP="00163A56">
            <w:r w:rsidRPr="00163A56">
              <w:t>31-Mar-22</w:t>
            </w:r>
          </w:p>
        </w:tc>
        <w:tc>
          <w:tcPr>
            <w:tcW w:w="2254" w:type="dxa"/>
          </w:tcPr>
          <w:p w14:paraId="51627590" w14:textId="411684D2" w:rsidR="00163A56" w:rsidRPr="00163A56" w:rsidRDefault="00163A56" w:rsidP="00163A56">
            <w:r w:rsidRPr="00163A56">
              <w:t>21,98,83,719</w:t>
            </w:r>
          </w:p>
        </w:tc>
        <w:tc>
          <w:tcPr>
            <w:tcW w:w="2254" w:type="dxa"/>
          </w:tcPr>
          <w:p w14:paraId="49450627" w14:textId="17F23C64" w:rsidR="00163A56" w:rsidRPr="00163A56" w:rsidRDefault="00163A56" w:rsidP="00163A56">
            <w:r w:rsidRPr="00163A56">
              <w:t>7,07,66,444</w:t>
            </w:r>
          </w:p>
        </w:tc>
        <w:tc>
          <w:tcPr>
            <w:tcW w:w="2254" w:type="dxa"/>
          </w:tcPr>
          <w:p w14:paraId="7809F522" w14:textId="43038279" w:rsidR="00163A56" w:rsidRPr="00163A56" w:rsidRDefault="00163A56" w:rsidP="00163A56">
            <w:r w:rsidRPr="00163A56">
              <w:t>3.11</w:t>
            </w:r>
          </w:p>
        </w:tc>
      </w:tr>
      <w:tr w:rsidR="00163A56" w:rsidRPr="00163A56" w14:paraId="70703234" w14:textId="77777777" w:rsidTr="00163A56">
        <w:tc>
          <w:tcPr>
            <w:tcW w:w="2254" w:type="dxa"/>
          </w:tcPr>
          <w:p w14:paraId="345138A0" w14:textId="1B42F911" w:rsidR="00163A56" w:rsidRPr="00163A56" w:rsidRDefault="00163A56" w:rsidP="00163A56">
            <w:r w:rsidRPr="00163A56">
              <w:t>31-Mar-21</w:t>
            </w:r>
          </w:p>
        </w:tc>
        <w:tc>
          <w:tcPr>
            <w:tcW w:w="2254" w:type="dxa"/>
          </w:tcPr>
          <w:p w14:paraId="2AF61B42" w14:textId="7359C489" w:rsidR="00163A56" w:rsidRPr="00163A56" w:rsidRDefault="00163A56" w:rsidP="00163A56">
            <w:r w:rsidRPr="00163A56">
              <w:t>21,37,11,617</w:t>
            </w:r>
          </w:p>
        </w:tc>
        <w:tc>
          <w:tcPr>
            <w:tcW w:w="2254" w:type="dxa"/>
          </w:tcPr>
          <w:p w14:paraId="3E80713E" w14:textId="55D5A0EC" w:rsidR="00163A56" w:rsidRPr="00163A56" w:rsidRDefault="00163A56" w:rsidP="00163A56">
            <w:r w:rsidRPr="00163A56">
              <w:t>6,08,58,141</w:t>
            </w:r>
          </w:p>
        </w:tc>
        <w:tc>
          <w:tcPr>
            <w:tcW w:w="2254" w:type="dxa"/>
          </w:tcPr>
          <w:p w14:paraId="60852F30" w14:textId="7F8B5FF6" w:rsidR="00163A56" w:rsidRPr="00163A56" w:rsidRDefault="00163A56" w:rsidP="00163A56">
            <w:r w:rsidRPr="00163A56">
              <w:t>3.51</w:t>
            </w:r>
          </w:p>
        </w:tc>
      </w:tr>
    </w:tbl>
    <w:p w14:paraId="0EE422A4" w14:textId="77777777" w:rsidR="00163A56" w:rsidRDefault="00163A56" w:rsidP="00163A56">
      <w:pPr>
        <w:pStyle w:val="Heading2"/>
      </w:pPr>
      <w:r>
        <w:t>Debt to Equity Ratio</w:t>
      </w:r>
    </w:p>
    <w:p w14:paraId="5F22E149" w14:textId="77777777" w:rsidR="00163A56" w:rsidRDefault="00163A56" w:rsidP="00163A56">
      <w:r w:rsidRPr="00163A56">
        <w:t xml:space="preserve">This ratio </w:t>
      </w:r>
      <w:proofErr w:type="gramStart"/>
      <w:r w:rsidRPr="00163A56">
        <w:t>indicates</w:t>
      </w:r>
      <w:proofErr w:type="gramEnd"/>
      <w:r w:rsidRPr="00163A56">
        <w:t xml:space="preserve"> the proportion of debt and equity used by the company to finance its assets.</w:t>
      </w:r>
    </w:p>
    <w:p w14:paraId="7099C9AB" w14:textId="77777777" w:rsidR="00163A56" w:rsidRDefault="00163A56" w:rsidP="00163A56">
      <w:r w:rsidRPr="00163A56">
        <w:t>Debt to Equity Ratio = Total Debt / Shareholders' Equity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2254"/>
        <w:gridCol w:w="2254"/>
        <w:gridCol w:w="2254"/>
        <w:gridCol w:w="2254"/>
      </w:tblGrid>
      <w:tr w:rsidR="00163A56" w:rsidRPr="00163A56" w14:paraId="1D5E5BAE" w14:textId="77777777" w:rsidTr="0016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4" w:type="dxa"/>
          </w:tcPr>
          <w:p w14:paraId="4EC7EB3A" w14:textId="47EFE44C" w:rsidR="00163A56" w:rsidRPr="00163A56" w:rsidRDefault="00163A56" w:rsidP="00163A56">
            <w:r w:rsidRPr="00163A56">
              <w:t>Year</w:t>
            </w:r>
          </w:p>
        </w:tc>
        <w:tc>
          <w:tcPr>
            <w:tcW w:w="2254" w:type="dxa"/>
          </w:tcPr>
          <w:p w14:paraId="6697E077" w14:textId="59161964" w:rsidR="00163A56" w:rsidRPr="00163A56" w:rsidRDefault="00163A56" w:rsidP="00163A56">
            <w:r w:rsidRPr="00163A56">
              <w:t>Total Debt (₹)</w:t>
            </w:r>
          </w:p>
        </w:tc>
        <w:tc>
          <w:tcPr>
            <w:tcW w:w="2254" w:type="dxa"/>
          </w:tcPr>
          <w:p w14:paraId="6B8B319C" w14:textId="3FD8ECBE" w:rsidR="00163A56" w:rsidRPr="00163A56" w:rsidRDefault="00163A56" w:rsidP="00163A56">
            <w:r w:rsidRPr="00163A56">
              <w:t>Shareholders' Equity (₹)</w:t>
            </w:r>
          </w:p>
        </w:tc>
        <w:tc>
          <w:tcPr>
            <w:tcW w:w="2254" w:type="dxa"/>
          </w:tcPr>
          <w:p w14:paraId="55FB1B97" w14:textId="7FFEFF93" w:rsidR="00163A56" w:rsidRPr="00163A56" w:rsidRDefault="00163A56" w:rsidP="00163A56">
            <w:r w:rsidRPr="00163A56">
              <w:t>Debt to Equity Ratio</w:t>
            </w:r>
          </w:p>
        </w:tc>
      </w:tr>
      <w:tr w:rsidR="00163A56" w:rsidRPr="00163A56" w14:paraId="7C1C260B" w14:textId="77777777" w:rsidTr="0016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</w:tcPr>
          <w:p w14:paraId="10E98F66" w14:textId="5EEC5FAB" w:rsidR="00163A56" w:rsidRPr="00163A56" w:rsidRDefault="00163A56" w:rsidP="00163A56">
            <w:r w:rsidRPr="00163A56">
              <w:t>31-Mar-24</w:t>
            </w:r>
          </w:p>
        </w:tc>
        <w:tc>
          <w:tcPr>
            <w:tcW w:w="2254" w:type="dxa"/>
          </w:tcPr>
          <w:p w14:paraId="6B2F00C3" w14:textId="2D1EFDB6" w:rsidR="00163A56" w:rsidRPr="00163A56" w:rsidRDefault="00163A56" w:rsidP="00163A56">
            <w:r w:rsidRPr="00163A56">
              <w:t>6,94,22,351</w:t>
            </w:r>
          </w:p>
        </w:tc>
        <w:tc>
          <w:tcPr>
            <w:tcW w:w="2254" w:type="dxa"/>
          </w:tcPr>
          <w:p w14:paraId="053D33D7" w14:textId="18F7F9C0" w:rsidR="00163A56" w:rsidRPr="00163A56" w:rsidRDefault="00163A56" w:rsidP="00163A56">
            <w:r w:rsidRPr="00163A56">
              <w:t>26,17,98,929</w:t>
            </w:r>
          </w:p>
        </w:tc>
        <w:tc>
          <w:tcPr>
            <w:tcW w:w="2254" w:type="dxa"/>
          </w:tcPr>
          <w:p w14:paraId="17FA65B2" w14:textId="7C34EAED" w:rsidR="00163A56" w:rsidRPr="00163A56" w:rsidRDefault="00163A56" w:rsidP="00163A56">
            <w:r w:rsidRPr="00163A56">
              <w:t>0.27</w:t>
            </w:r>
          </w:p>
        </w:tc>
      </w:tr>
      <w:tr w:rsidR="00163A56" w:rsidRPr="00163A56" w14:paraId="135F9AE8" w14:textId="77777777" w:rsidTr="00163A56">
        <w:tc>
          <w:tcPr>
            <w:tcW w:w="2254" w:type="dxa"/>
          </w:tcPr>
          <w:p w14:paraId="38C3EDAE" w14:textId="55C67D50" w:rsidR="00163A56" w:rsidRPr="00163A56" w:rsidRDefault="00163A56" w:rsidP="00163A56">
            <w:r w:rsidRPr="00163A56">
              <w:t>31-Mar-23</w:t>
            </w:r>
          </w:p>
        </w:tc>
        <w:tc>
          <w:tcPr>
            <w:tcW w:w="2254" w:type="dxa"/>
          </w:tcPr>
          <w:p w14:paraId="4F81F1BE" w14:textId="3AC24765" w:rsidR="00163A56" w:rsidRPr="00163A56" w:rsidRDefault="00163A56" w:rsidP="00163A56">
            <w:r w:rsidRPr="00163A56">
              <w:t>12,85,87,689</w:t>
            </w:r>
          </w:p>
        </w:tc>
        <w:tc>
          <w:tcPr>
            <w:tcW w:w="2254" w:type="dxa"/>
          </w:tcPr>
          <w:p w14:paraId="4723F571" w14:textId="4A39C5A8" w:rsidR="00163A56" w:rsidRPr="00163A56" w:rsidRDefault="00163A56" w:rsidP="00163A56">
            <w:r w:rsidRPr="00163A56">
              <w:t>34,93,16,606</w:t>
            </w:r>
          </w:p>
        </w:tc>
        <w:tc>
          <w:tcPr>
            <w:tcW w:w="2254" w:type="dxa"/>
          </w:tcPr>
          <w:p w14:paraId="498BCDB6" w14:textId="2560A150" w:rsidR="00163A56" w:rsidRPr="00163A56" w:rsidRDefault="00163A56" w:rsidP="00163A56">
            <w:r w:rsidRPr="00163A56">
              <w:t>0.37</w:t>
            </w:r>
          </w:p>
        </w:tc>
      </w:tr>
      <w:tr w:rsidR="00163A56" w:rsidRPr="00163A56" w14:paraId="4C0B9398" w14:textId="77777777" w:rsidTr="0016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</w:tcPr>
          <w:p w14:paraId="7D096146" w14:textId="732A0E33" w:rsidR="00163A56" w:rsidRPr="00163A56" w:rsidRDefault="00163A56" w:rsidP="00163A56">
            <w:r w:rsidRPr="00163A56">
              <w:t>31-Mar-22</w:t>
            </w:r>
          </w:p>
        </w:tc>
        <w:tc>
          <w:tcPr>
            <w:tcW w:w="2254" w:type="dxa"/>
          </w:tcPr>
          <w:p w14:paraId="6BE5AC3E" w14:textId="2F6FAE85" w:rsidR="00163A56" w:rsidRPr="00163A56" w:rsidRDefault="00163A56" w:rsidP="00163A56">
            <w:r w:rsidRPr="00163A56">
              <w:t>6,27,09,223</w:t>
            </w:r>
          </w:p>
        </w:tc>
        <w:tc>
          <w:tcPr>
            <w:tcW w:w="2254" w:type="dxa"/>
          </w:tcPr>
          <w:p w14:paraId="650DC36D" w14:textId="6A86DEAF" w:rsidR="00163A56" w:rsidRPr="00163A56" w:rsidRDefault="00163A56" w:rsidP="00163A56">
            <w:r w:rsidRPr="00163A56">
              <w:t>34,36,23,185</w:t>
            </w:r>
          </w:p>
        </w:tc>
        <w:tc>
          <w:tcPr>
            <w:tcW w:w="2254" w:type="dxa"/>
          </w:tcPr>
          <w:p w14:paraId="5C0F2502" w14:textId="5319CC85" w:rsidR="00163A56" w:rsidRPr="00163A56" w:rsidRDefault="00163A56" w:rsidP="00163A56">
            <w:r w:rsidRPr="00163A56">
              <w:t>0.18</w:t>
            </w:r>
          </w:p>
        </w:tc>
      </w:tr>
      <w:tr w:rsidR="00163A56" w:rsidRPr="00163A56" w14:paraId="321C857E" w14:textId="77777777" w:rsidTr="00163A56">
        <w:tc>
          <w:tcPr>
            <w:tcW w:w="2254" w:type="dxa"/>
          </w:tcPr>
          <w:p w14:paraId="47E1332B" w14:textId="0B39F8C3" w:rsidR="00163A56" w:rsidRPr="00163A56" w:rsidRDefault="00163A56" w:rsidP="00163A56">
            <w:r w:rsidRPr="00163A56">
              <w:t>31-Mar-21</w:t>
            </w:r>
          </w:p>
        </w:tc>
        <w:tc>
          <w:tcPr>
            <w:tcW w:w="2254" w:type="dxa"/>
          </w:tcPr>
          <w:p w14:paraId="2574D77B" w14:textId="4A08F6FA" w:rsidR="00163A56" w:rsidRPr="00163A56" w:rsidRDefault="00163A56" w:rsidP="00163A56">
            <w:r w:rsidRPr="00163A56">
              <w:t>8,94,31,948</w:t>
            </w:r>
          </w:p>
        </w:tc>
        <w:tc>
          <w:tcPr>
            <w:tcW w:w="2254" w:type="dxa"/>
          </w:tcPr>
          <w:p w14:paraId="0E7B61E1" w14:textId="54F7C01E" w:rsidR="00163A56" w:rsidRPr="00163A56" w:rsidRDefault="00163A56" w:rsidP="00163A56">
            <w:r w:rsidRPr="00163A56">
              <w:t>33,94,40,407</w:t>
            </w:r>
          </w:p>
        </w:tc>
        <w:tc>
          <w:tcPr>
            <w:tcW w:w="2254" w:type="dxa"/>
          </w:tcPr>
          <w:p w14:paraId="2E66A033" w14:textId="3F921CEF" w:rsidR="00163A56" w:rsidRPr="00163A56" w:rsidRDefault="00163A56" w:rsidP="00163A56">
            <w:r w:rsidRPr="00163A56">
              <w:t>0.26</w:t>
            </w:r>
          </w:p>
        </w:tc>
      </w:tr>
    </w:tbl>
    <w:p w14:paraId="7BF09FD7" w14:textId="77777777" w:rsidR="00163A56" w:rsidRDefault="00163A56" w:rsidP="00163A56">
      <w:pPr>
        <w:pStyle w:val="Heading1"/>
      </w:pPr>
      <w:r>
        <w:t>Financial Health Interpretation</w:t>
      </w:r>
    </w:p>
    <w:p w14:paraId="7E07FBC6" w14:textId="77777777" w:rsidR="00163A56" w:rsidRDefault="00163A56" w:rsidP="00163A56">
      <w:pPr>
        <w:pStyle w:val="Heading2"/>
      </w:pPr>
      <w:r>
        <w:t>Liquidity Position</w:t>
      </w:r>
    </w:p>
    <w:p w14:paraId="51A98EE5" w14:textId="77777777" w:rsidR="00163A56" w:rsidRDefault="00163A56" w:rsidP="00163A56">
      <w:r w:rsidRPr="00163A56">
        <w:t xml:space="preserve">The current ratio has declined from 3.51 in 2021 to 1.92 in 2024, </w:t>
      </w:r>
      <w:proofErr w:type="gramStart"/>
      <w:r w:rsidRPr="00163A56">
        <w:t>indicating</w:t>
      </w:r>
      <w:proofErr w:type="gramEnd"/>
      <w:r w:rsidRPr="00163A56">
        <w:t xml:space="preserve"> that the company's liquidity position has worsened over the years. However, a current ratio above 1 still suggests that the company can meet its short-term liabilities.</w:t>
      </w:r>
    </w:p>
    <w:p w14:paraId="3AAC4E6D" w14:textId="77777777" w:rsidR="00163A56" w:rsidRDefault="00163A56" w:rsidP="00163A56">
      <w:pPr>
        <w:pStyle w:val="Heading2"/>
      </w:pPr>
      <w:r>
        <w:t>Leverage</w:t>
      </w:r>
    </w:p>
    <w:p w14:paraId="0BE30A40" w14:textId="77777777" w:rsidR="00163A56" w:rsidRDefault="00163A56" w:rsidP="00163A56">
      <w:r w:rsidRPr="00163A56">
        <w:t xml:space="preserve">The </w:t>
      </w:r>
      <w:proofErr w:type="gramStart"/>
      <w:r w:rsidRPr="00163A56">
        <w:t>debt to equity</w:t>
      </w:r>
      <w:proofErr w:type="gramEnd"/>
      <w:r w:rsidRPr="00163A56">
        <w:t xml:space="preserve"> ratio has shown some fluctuation, peaking in 2023 at 0.37 and declining to 0.27 in 2024. This ratio </w:t>
      </w:r>
      <w:proofErr w:type="gramStart"/>
      <w:r w:rsidRPr="00163A56">
        <w:t>indicates</w:t>
      </w:r>
      <w:proofErr w:type="gramEnd"/>
      <w:r w:rsidRPr="00163A56">
        <w:t xml:space="preserve"> that the company has maintained a relatively low level of leverage, reducing its financial risk.</w:t>
      </w:r>
    </w:p>
    <w:p w14:paraId="0F4A4285" w14:textId="77777777" w:rsidR="00163A56" w:rsidRDefault="00163A56" w:rsidP="00163A56">
      <w:pPr>
        <w:pStyle w:val="Heading1"/>
      </w:pPr>
      <w:r>
        <w:t>Conclusion</w:t>
      </w:r>
    </w:p>
    <w:p w14:paraId="517287F5" w14:textId="77777777" w:rsidR="00163A56" w:rsidRDefault="00163A56" w:rsidP="00163A56">
      <w:r w:rsidRPr="00163A56">
        <w:t xml:space="preserve">Overall, the company </w:t>
      </w:r>
      <w:proofErr w:type="gramStart"/>
      <w:r w:rsidRPr="00163A56">
        <w:t>appears to have</w:t>
      </w:r>
      <w:proofErr w:type="gramEnd"/>
      <w:r w:rsidRPr="00163A56">
        <w:t xml:space="preserve"> a stable financial base with low leverage. However, the declining liquidity ratio is a concern and should be </w:t>
      </w:r>
      <w:proofErr w:type="gramStart"/>
      <w:r w:rsidRPr="00163A56">
        <w:t>monitored</w:t>
      </w:r>
      <w:proofErr w:type="gramEnd"/>
      <w:r w:rsidRPr="00163A56">
        <w:t xml:space="preserve"> closely. To ensure long-term financial health, the company should focus on improving its liquidity position and </w:t>
      </w:r>
      <w:proofErr w:type="gramStart"/>
      <w:r w:rsidRPr="00163A56">
        <w:t>maintaining</w:t>
      </w:r>
      <w:proofErr w:type="gramEnd"/>
      <w:r w:rsidRPr="00163A56">
        <w:t xml:space="preserve"> efficient use of its assets.</w:t>
      </w:r>
    </w:p>
    <w:p w14:paraId="5384EE11" w14:textId="7C6BDFB8" w:rsidR="00163A56" w:rsidRPr="00163A56" w:rsidRDefault="00163A56" w:rsidP="00163A56">
      <w:r w:rsidRPr="00163A56">
        <w:t>Moving forward, it will be crucial for the company to enhance its profitability margins, manage working capital more effectively, and explore opportunities for growth and expansion, all while keeping a close eye on liquidity and leverage metrics.</w:t>
      </w:r>
    </w:p>
    <w:p w14:paraId="42891F66" w14:textId="4A705BF7" w:rsidR="0059406F" w:rsidRPr="00163A56" w:rsidRDefault="0059406F" w:rsidP="00163A56"/>
    <w:sectPr w:rsidR="0059406F" w:rsidRPr="00163A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90204"/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0592"/>
    <w:multiLevelType w:val="hybridMultilevel"/>
    <w:tmpl w:val="9E4AEA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008F4"/>
    <w:multiLevelType w:val="hybridMultilevel"/>
    <w:tmpl w:val="3788CA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A6CDA"/>
    <w:multiLevelType w:val="hybridMultilevel"/>
    <w:tmpl w:val="63784B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016E"/>
    <w:multiLevelType w:val="hybridMultilevel"/>
    <w:tmpl w:val="052853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D50D0"/>
    <w:multiLevelType w:val="hybridMultilevel"/>
    <w:tmpl w:val="05EEB5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6441B"/>
    <w:multiLevelType w:val="hybridMultilevel"/>
    <w:tmpl w:val="FCFE45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BC"/>
    <w:multiLevelType w:val="hybridMultilevel"/>
    <w:tmpl w:val="790083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66D4C"/>
    <w:multiLevelType w:val="hybridMultilevel"/>
    <w:tmpl w:val="AA4C92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86E4C"/>
    <w:multiLevelType w:val="hybridMultilevel"/>
    <w:tmpl w:val="356CCC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667EB"/>
    <w:multiLevelType w:val="hybridMultilevel"/>
    <w:tmpl w:val="E7B493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57F5D"/>
    <w:multiLevelType w:val="hybridMultilevel"/>
    <w:tmpl w:val="BFCA1B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50B83"/>
    <w:multiLevelType w:val="hybridMultilevel"/>
    <w:tmpl w:val="BB4250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F7F87"/>
    <w:multiLevelType w:val="hybridMultilevel"/>
    <w:tmpl w:val="48BCA0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A54A7"/>
    <w:multiLevelType w:val="hybridMultilevel"/>
    <w:tmpl w:val="C19284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B48D2"/>
    <w:multiLevelType w:val="hybridMultilevel"/>
    <w:tmpl w:val="D3BE96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893975">
    <w:abstractNumId w:val="4"/>
  </w:num>
  <w:num w:numId="2" w16cid:durableId="59519963">
    <w:abstractNumId w:val="2"/>
  </w:num>
  <w:num w:numId="3" w16cid:durableId="672269146">
    <w:abstractNumId w:val="9"/>
  </w:num>
  <w:num w:numId="4" w16cid:durableId="1559394872">
    <w:abstractNumId w:val="14"/>
  </w:num>
  <w:num w:numId="5" w16cid:durableId="621831">
    <w:abstractNumId w:val="10"/>
  </w:num>
  <w:num w:numId="6" w16cid:durableId="1840922195">
    <w:abstractNumId w:val="7"/>
  </w:num>
  <w:num w:numId="7" w16cid:durableId="1860851605">
    <w:abstractNumId w:val="5"/>
  </w:num>
  <w:num w:numId="8" w16cid:durableId="831991952">
    <w:abstractNumId w:val="8"/>
  </w:num>
  <w:num w:numId="9" w16cid:durableId="1938634492">
    <w:abstractNumId w:val="3"/>
  </w:num>
  <w:num w:numId="10" w16cid:durableId="1052121925">
    <w:abstractNumId w:val="11"/>
  </w:num>
  <w:num w:numId="11" w16cid:durableId="1936401155">
    <w:abstractNumId w:val="13"/>
  </w:num>
  <w:num w:numId="12" w16cid:durableId="614605573">
    <w:abstractNumId w:val="6"/>
  </w:num>
  <w:num w:numId="13" w16cid:durableId="1020084204">
    <w:abstractNumId w:val="0"/>
  </w:num>
  <w:num w:numId="14" w16cid:durableId="557787410">
    <w:abstractNumId w:val="12"/>
  </w:num>
  <w:num w:numId="15" w16cid:durableId="1758478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A56"/>
    <w:rsid w:val="000A0E5D"/>
    <w:rsid w:val="00163A56"/>
    <w:rsid w:val="00203E0B"/>
    <w:rsid w:val="002211C8"/>
    <w:rsid w:val="003B2FF9"/>
    <w:rsid w:val="003F5B4E"/>
    <w:rsid w:val="0059406F"/>
    <w:rsid w:val="008B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FB022"/>
  <w15:chartTrackingRefBased/>
  <w15:docId w15:val="{32EF1A42-AD89-4DED-860F-5D35C2FB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3A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3A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3A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3A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3A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3A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3A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3A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3A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3A56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63A56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3A56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3A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A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3A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A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A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A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3A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163A56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3A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163A56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163A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3A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3A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3A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3A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3A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3A5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63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63A5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Introduction</vt:lpstr>
      <vt:lpstr>Balance Sheet Summary</vt:lpstr>
      <vt:lpstr>    Sources of Funds</vt:lpstr>
      <vt:lpstr>    Applications of Funds</vt:lpstr>
      <vt:lpstr>Key Financial Ratios</vt:lpstr>
      <vt:lpstr>    Current Ratio</vt:lpstr>
      <vt:lpstr>    Debt to Equity Ratio</vt:lpstr>
      <vt:lpstr>Financial Health Interpretation</vt:lpstr>
      <vt:lpstr>    Liquidity Position</vt:lpstr>
      <vt:lpstr>    Leverage</vt:lpstr>
      <vt:lpstr>Conclusion</vt:lpstr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Nitin Paranjape</dc:creator>
  <cp:keywords/>
  <dc:description/>
  <cp:lastModifiedBy>Dr. Nitin Paranjape</cp:lastModifiedBy>
  <cp:revision>1</cp:revision>
  <dcterms:created xsi:type="dcterms:W3CDTF">2024-08-31T14:17:00Z</dcterms:created>
  <dcterms:modified xsi:type="dcterms:W3CDTF">2024-08-31T14:56:00Z</dcterms:modified>
</cp:coreProperties>
</file>